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413B" w14:textId="2CAEAB56" w:rsidR="00423AFA" w:rsidRDefault="00B00730" w:rsidP="00B0073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Pension Fund Committee – Thursday 24</w:t>
      </w:r>
      <w:r w:rsidRPr="00B0073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June 2021</w:t>
      </w:r>
    </w:p>
    <w:p w14:paraId="43EFBE09" w14:textId="22B14D74" w:rsidR="00B00730" w:rsidRDefault="00B00730" w:rsidP="00B0073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Late material</w:t>
      </w:r>
    </w:p>
    <w:p w14:paraId="06F5166A" w14:textId="036987A0" w:rsidR="00B00730" w:rsidRDefault="00B00730" w:rsidP="00B0073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84B190" w14:textId="0D511CF5" w:rsidR="00B00730" w:rsidRDefault="00B00730" w:rsidP="00B00730">
      <w:pPr>
        <w:rPr>
          <w:rFonts w:ascii="Arial" w:hAnsi="Arial" w:cs="Arial"/>
          <w:b/>
          <w:bCs/>
          <w:sz w:val="24"/>
          <w:szCs w:val="24"/>
        </w:rPr>
      </w:pPr>
      <w:r w:rsidRPr="00B00730">
        <w:rPr>
          <w:rFonts w:ascii="Arial" w:hAnsi="Arial" w:cs="Arial"/>
          <w:b/>
          <w:bCs/>
          <w:sz w:val="24"/>
          <w:szCs w:val="24"/>
        </w:rPr>
        <w:t xml:space="preserve">Item 11 Performance </w:t>
      </w:r>
      <w:r>
        <w:rPr>
          <w:rFonts w:ascii="Arial" w:hAnsi="Arial" w:cs="Arial"/>
          <w:b/>
          <w:bCs/>
          <w:sz w:val="24"/>
          <w:szCs w:val="24"/>
        </w:rPr>
        <w:t>Dashboard and Update on Regular Items</w:t>
      </w:r>
    </w:p>
    <w:p w14:paraId="7BD09188" w14:textId="092325D6" w:rsidR="00B00730" w:rsidRDefault="00B00730" w:rsidP="00B007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Updated Appendix 6 – Fund Valuation at 31 May 2021</w:t>
      </w:r>
    </w:p>
    <w:p w14:paraId="246F2ECD" w14:textId="586340D1" w:rsidR="00B00730" w:rsidRDefault="00B00730" w:rsidP="00B00730">
      <w:pPr>
        <w:rPr>
          <w:rFonts w:ascii="Arial" w:hAnsi="Arial" w:cs="Arial"/>
          <w:b/>
          <w:bCs/>
          <w:sz w:val="24"/>
          <w:szCs w:val="24"/>
        </w:rPr>
      </w:pPr>
    </w:p>
    <w:p w14:paraId="72BA83AA" w14:textId="33776AE9" w:rsidR="00B00730" w:rsidRDefault="00B00730" w:rsidP="00B00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updated Appendix 6 is attached, showing the valuation of the Fund’s investments at 31 May 2021. </w:t>
      </w:r>
    </w:p>
    <w:p w14:paraId="074D4211" w14:textId="480F525B" w:rsidR="00B00730" w:rsidRDefault="00B00730" w:rsidP="00B00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been a small increase of £1.163m to £995.083m. The main points to note are:</w:t>
      </w:r>
    </w:p>
    <w:p w14:paraId="6898C3D2" w14:textId="77777777" w:rsidR="00B00730" w:rsidRDefault="00B00730" w:rsidP="00B00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further £10m of the cash liquidated from the rebalancing withdrawals from equity investments in April 2021 was invested in the LCIV Global Bond Fund.</w:t>
      </w:r>
    </w:p>
    <w:p w14:paraId="0D69738E" w14:textId="227795A9" w:rsidR="00B00730" w:rsidRDefault="00B00730" w:rsidP="00B00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further drawdown of £0.465m to the LCIV Infrastructure Fund. This Fund is now approximately 25% invested.  </w:t>
      </w:r>
    </w:p>
    <w:p w14:paraId="60B53475" w14:textId="657A394C" w:rsidR="00847C30" w:rsidRPr="00B00730" w:rsidRDefault="00847C30" w:rsidP="00B00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proportion of assets pooled plus passive funds regarded as such increased to 57.7% as a result of the above.</w:t>
      </w:r>
    </w:p>
    <w:sectPr w:rsidR="00847C30" w:rsidRPr="00B0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D6D"/>
    <w:multiLevelType w:val="hybridMultilevel"/>
    <w:tmpl w:val="2FCC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30"/>
    <w:rsid w:val="00423AFA"/>
    <w:rsid w:val="00847C30"/>
    <w:rsid w:val="00B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AA7B"/>
  <w15:chartTrackingRefBased/>
  <w15:docId w15:val="{B81BD654-0701-483F-B183-1B7BA48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Randall</dc:creator>
  <cp:keywords/>
  <dc:description/>
  <cp:lastModifiedBy>Jeremy Randall</cp:lastModifiedBy>
  <cp:revision>1</cp:revision>
  <dcterms:created xsi:type="dcterms:W3CDTF">2021-06-22T14:54:00Z</dcterms:created>
  <dcterms:modified xsi:type="dcterms:W3CDTF">2021-06-22T15:09:00Z</dcterms:modified>
</cp:coreProperties>
</file>